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513D8C" w:rsidRPr="00513D8C">
        <w:trPr>
          <w:tblCellSpacing w:w="0" w:type="dxa"/>
          <w:jc w:val="center"/>
        </w:trPr>
        <w:tc>
          <w:tcPr>
            <w:tcW w:w="0" w:type="auto"/>
            <w:vAlign w:val="center"/>
            <w:hideMark/>
          </w:tcPr>
          <w:p w:rsidR="00513D8C" w:rsidRPr="00513D8C" w:rsidRDefault="00513D8C" w:rsidP="00513D8C">
            <w:pPr>
              <w:widowControl/>
              <w:spacing w:line="450" w:lineRule="atLeast"/>
              <w:jc w:val="center"/>
              <w:rPr>
                <w:rFonts w:ascii="黑体" w:eastAsia="黑体" w:hAnsi="宋体" w:cs="宋体"/>
                <w:color w:val="375DA4"/>
                <w:kern w:val="0"/>
                <w:sz w:val="30"/>
                <w:szCs w:val="30"/>
              </w:rPr>
            </w:pPr>
            <w:r w:rsidRPr="00513D8C">
              <w:rPr>
                <w:rFonts w:ascii="黑体" w:eastAsia="黑体" w:hAnsi="宋体" w:cs="宋体" w:hint="eastAsia"/>
                <w:color w:val="375DA4"/>
                <w:kern w:val="0"/>
                <w:sz w:val="30"/>
                <w:szCs w:val="30"/>
              </w:rPr>
              <w:t xml:space="preserve">中华人民共和国学位条例暂行实施办法 </w:t>
            </w:r>
          </w:p>
        </w:tc>
      </w:tr>
    </w:tbl>
    <w:p w:rsidR="00513D8C" w:rsidRPr="00513D8C" w:rsidRDefault="00513D8C" w:rsidP="00513D8C">
      <w:pPr>
        <w:widowControl/>
        <w:jc w:val="center"/>
        <w:rPr>
          <w:rFonts w:ascii="宋体" w:hAnsi="宋体" w:cs="宋体"/>
          <w:vanish/>
          <w:kern w:val="0"/>
          <w:sz w:val="18"/>
          <w:szCs w:val="18"/>
        </w:rPr>
      </w:pPr>
    </w:p>
    <w:tbl>
      <w:tblPr>
        <w:tblW w:w="5000" w:type="pct"/>
        <w:jc w:val="center"/>
        <w:tblCellSpacing w:w="0" w:type="dxa"/>
        <w:tblCellMar>
          <w:left w:w="0" w:type="dxa"/>
          <w:right w:w="0" w:type="dxa"/>
        </w:tblCellMar>
        <w:tblLook w:val="04A0"/>
      </w:tblPr>
      <w:tblGrid>
        <w:gridCol w:w="8306"/>
      </w:tblGrid>
      <w:tr w:rsidR="00513D8C" w:rsidRPr="00513D8C">
        <w:trPr>
          <w:trHeight w:val="375"/>
          <w:tblCellSpacing w:w="0" w:type="dxa"/>
          <w:jc w:val="center"/>
        </w:trPr>
        <w:tc>
          <w:tcPr>
            <w:tcW w:w="0" w:type="auto"/>
            <w:vAlign w:val="center"/>
            <w:hideMark/>
          </w:tcPr>
          <w:p w:rsidR="00513D8C" w:rsidRPr="00513D8C" w:rsidRDefault="00513D8C" w:rsidP="00513D8C">
            <w:pPr>
              <w:widowControl/>
              <w:jc w:val="left"/>
              <w:rPr>
                <w:rFonts w:ascii="宋体" w:hAnsi="宋体" w:cs="宋体"/>
                <w:kern w:val="0"/>
                <w:sz w:val="18"/>
                <w:szCs w:val="18"/>
              </w:rPr>
            </w:pPr>
            <w:r w:rsidRPr="00513D8C">
              <w:rPr>
                <w:rFonts w:ascii="宋体" w:hAnsi="宋体" w:cs="宋体" w:hint="eastAsia"/>
                <w:kern w:val="0"/>
                <w:sz w:val="18"/>
                <w:szCs w:val="18"/>
              </w:rPr>
              <w:t> </w:t>
            </w:r>
          </w:p>
        </w:tc>
      </w:tr>
    </w:tbl>
    <w:p w:rsidR="00513D8C" w:rsidRPr="00513D8C" w:rsidRDefault="00513D8C" w:rsidP="00513D8C">
      <w:pPr>
        <w:widowControl/>
        <w:jc w:val="center"/>
        <w:rPr>
          <w:rFonts w:ascii="宋体" w:hAnsi="宋体" w:cs="宋体"/>
          <w:vanish/>
          <w:kern w:val="0"/>
          <w:sz w:val="18"/>
          <w:szCs w:val="18"/>
        </w:rPr>
      </w:pPr>
    </w:p>
    <w:tbl>
      <w:tblPr>
        <w:tblW w:w="5000" w:type="pct"/>
        <w:jc w:val="center"/>
        <w:tblCellSpacing w:w="0" w:type="dxa"/>
        <w:tblCellMar>
          <w:left w:w="0" w:type="dxa"/>
          <w:right w:w="0" w:type="dxa"/>
        </w:tblCellMar>
        <w:tblLook w:val="04A0"/>
      </w:tblPr>
      <w:tblGrid>
        <w:gridCol w:w="8306"/>
      </w:tblGrid>
      <w:tr w:rsidR="00513D8C" w:rsidRPr="00513D8C">
        <w:trPr>
          <w:tblCellSpacing w:w="0" w:type="dxa"/>
          <w:jc w:val="center"/>
        </w:trPr>
        <w:tc>
          <w:tcPr>
            <w:tcW w:w="0" w:type="auto"/>
            <w:hideMark/>
          </w:tcPr>
          <w:p w:rsidR="00513D8C" w:rsidRPr="00513D8C" w:rsidRDefault="00513D8C" w:rsidP="00513D8C">
            <w:pPr>
              <w:widowControl/>
              <w:spacing w:before="100" w:beforeAutospacing="1" w:after="375" w:line="480" w:lineRule="atLeast"/>
              <w:jc w:val="center"/>
              <w:rPr>
                <w:rFonts w:ascii="宋体" w:hAnsi="宋体" w:cs="宋体" w:hint="eastAsia"/>
                <w:color w:val="000000"/>
                <w:kern w:val="0"/>
                <w:sz w:val="24"/>
              </w:rPr>
            </w:pPr>
            <w:r w:rsidRPr="00513D8C">
              <w:rPr>
                <w:rFonts w:ascii="宋体" w:hAnsi="宋体" w:cs="宋体" w:hint="eastAsia"/>
                <w:color w:val="000000"/>
                <w:kern w:val="0"/>
                <w:sz w:val="24"/>
              </w:rPr>
              <w:t>（1981年5月20日国务院批准实施）</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第一条　根据中华人民共和国学位条例，制定本暂行实施办法。</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第二条　学位按下列学科的门类授予：哲学、经济学、法学、教育学、文学、历史学、理学、工学、农学、医学。</w:t>
            </w:r>
          </w:p>
          <w:p w:rsidR="00513D8C" w:rsidRPr="00513D8C" w:rsidRDefault="00513D8C" w:rsidP="00513D8C">
            <w:pPr>
              <w:widowControl/>
              <w:spacing w:before="100" w:beforeAutospacing="1" w:after="375" w:line="480" w:lineRule="atLeast"/>
              <w:jc w:val="center"/>
              <w:rPr>
                <w:rFonts w:ascii="宋体" w:hAnsi="宋体" w:cs="宋体" w:hint="eastAsia"/>
                <w:color w:val="000000"/>
                <w:kern w:val="0"/>
                <w:sz w:val="24"/>
              </w:rPr>
            </w:pPr>
            <w:r w:rsidRPr="00513D8C">
              <w:rPr>
                <w:rFonts w:ascii="宋体" w:hAnsi="宋体" w:cs="宋体" w:hint="eastAsia"/>
                <w:b/>
                <w:bCs/>
                <w:color w:val="000000"/>
                <w:kern w:val="0"/>
                <w:sz w:val="24"/>
              </w:rPr>
              <w:t>学士学位</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第三条　学士学位由国务院授权的高等学校授予。</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高等学校本科学生完成教学计划的各项要求，经审核准予毕业，其课程学习和毕业论文（毕业设计或其他毕业实践环节）的成绩，表明确已较好地掌握本门学科的基础理论、专门知识和基本技能，并且有从事科学研究工作或担负专门技术工作的初步能力的，授予学士学位。</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第四条　授予学士学位的高等学校，应当由系逐个审核本科毕业生的成绩和毕业鉴定等材料，对符合本暂行办法第三条及有关规定的，可向学校学位评定委员会提名，列入学士学位获得者的名单。</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非授予学士学位的高等学校，对达到学士学术水平的本科毕业生，应当由系向学校提出名单，经学校同意后，由学校就近向本系统、本地区的授予学士学位的高等学校推荐。授予学士学位的高等学校有关的系，对非授予学士学位的高等学校推荐的本科毕业生进行审查考核，认为符合本暂行办法第三条及有关规定的，可向学校学位评定委员会提名，列入学士学位获得者的名单。</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第五条　学士学位获得者的名单，经授予学士学位的高等学校学位评定委员会审查通过，由授予学士学位的高等学校授予学士学位。</w:t>
            </w:r>
          </w:p>
          <w:p w:rsidR="00513D8C" w:rsidRPr="00513D8C" w:rsidRDefault="00513D8C" w:rsidP="00513D8C">
            <w:pPr>
              <w:widowControl/>
              <w:spacing w:before="100" w:beforeAutospacing="1" w:after="375" w:line="480" w:lineRule="atLeast"/>
              <w:jc w:val="center"/>
              <w:rPr>
                <w:rFonts w:ascii="宋体" w:hAnsi="宋体" w:cs="宋体" w:hint="eastAsia"/>
                <w:color w:val="000000"/>
                <w:kern w:val="0"/>
                <w:sz w:val="24"/>
              </w:rPr>
            </w:pPr>
            <w:r w:rsidRPr="00513D8C">
              <w:rPr>
                <w:rFonts w:ascii="宋体" w:hAnsi="宋体" w:cs="宋体" w:hint="eastAsia"/>
                <w:b/>
                <w:bCs/>
                <w:color w:val="000000"/>
                <w:kern w:val="0"/>
                <w:sz w:val="24"/>
              </w:rPr>
              <w:lastRenderedPageBreak/>
              <w:t>硕士学位</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第六条　硕士学位由国务院授权的高等学校和科学研究机构授予。</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申请硕士学位人员应当在学位授予单位规定的期限内，向学位授予单位提交申请书和申请硕士学位的学术论文等材料。学位授予单位应当在申请日期截止后两个月内进行审查，决定是否同意申请，并将结果通知申请人及其所在单位。</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非学位授予单位应届毕业的研究生申请时，应当送交本单位关于申请硕士学位的推荐书。</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同等学力人员申请时，应当送交两位副教授、教授或相当职称的专家的推荐书。学位授予单位对未具有大学毕业学历的申请人员，可以在接受申请前，采取适当方式，考核其某些大学课程。</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申请人员不得同时向两个学位授予单位提出申请。</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第七条　硕士学位的考试课程和要求：</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1．马克思主义理论课。要求掌握马克思主义的基本理论。</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2．基础理论课和专业课，一般为三至四门。要求掌握坚实的基础理论和系统的专门知识。</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3．一门外国语。要求比较熟练地阅读本专业的外文资料。</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学位授予单位研究生的硕士学位课程考试，可按上述的课程要求，结合培养计划安排进行。</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非学位授予单位研究生的硕士学位课程考试，由学位授予单位组织进行。凡经学位授予单位审核，认为其在原单位的课程考试内容和成绩合格的，可以免除</w:t>
            </w:r>
            <w:r w:rsidRPr="00513D8C">
              <w:rPr>
                <w:rFonts w:ascii="宋体" w:hAnsi="宋体" w:cs="宋体" w:hint="eastAsia"/>
                <w:color w:val="000000"/>
                <w:kern w:val="0"/>
                <w:sz w:val="24"/>
              </w:rPr>
              <w:lastRenderedPageBreak/>
              <w:t>部分或全部课程考试。</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同等学力人员的硕士学位课程考试，由学位授予单位组织进行。</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申请硕士学位人员必须通过规定的课程考试，成绩合格，方可参加论文答辩。规定考试的课程中，如有一门不及格，可在半年内申请补考一次，补考不及格的，不能参加论文答辩。</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试行学分制的学位授予单位，应当按上述的课程要求，规定授予硕士学位所应取得的课程学分。申请硕士学位人员必须取得规定的学分后，方可参加论文答辩。</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第八条　硕士学位论文对所研究地课题应当有新的见解，表明作者具有从事科学研究工作或独立担负专门技术工作的能力。</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学位授予单位应当聘请一至二位与论文有关学科的专家评阅论文。评阅人应当对论文写出详细的学术评语，供论文答辩委员会参考。</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硕士学位论文答辫委员会由三至五人组成。成员中一般应当有外单位的专家。论文答辩委员会主席由副教授、教授或相当职称的专家担任。</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论文答辩委员会根据答辩的情况，就是否授予硕士学位作出决议。决议采取不记名投票方式，经全体成员三分之二以上同意，方得通过。决议经论文答辩委员会主席签字后，报送学位评定委员会。会议应当有记录。</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硕士学位论文答辫不合格的，经论文答辩委员会同意，可在一年内修改论文，重新答辩一次。</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第九条　硕士学位论文答辩委员会多数成员如认为申请人的论文已相当于博士学位的学术水平，除作出授予硕士学位的决议外，可向授予博士学位的单位</w:t>
            </w:r>
            <w:r w:rsidRPr="00513D8C">
              <w:rPr>
                <w:rFonts w:ascii="宋体" w:hAnsi="宋体" w:cs="宋体" w:hint="eastAsia"/>
                <w:color w:val="000000"/>
                <w:kern w:val="0"/>
                <w:sz w:val="24"/>
              </w:rPr>
              <w:lastRenderedPageBreak/>
              <w:t>提出建议，由授予博士学位的单位按本暂行办法博士学位部分中有关规定办理。</w:t>
            </w:r>
          </w:p>
          <w:p w:rsidR="00513D8C" w:rsidRPr="00513D8C" w:rsidRDefault="00513D8C" w:rsidP="00513D8C">
            <w:pPr>
              <w:widowControl/>
              <w:spacing w:before="100" w:beforeAutospacing="1" w:after="375" w:line="480" w:lineRule="atLeast"/>
              <w:jc w:val="center"/>
              <w:rPr>
                <w:rFonts w:ascii="宋体" w:hAnsi="宋体" w:cs="宋体" w:hint="eastAsia"/>
                <w:color w:val="000000"/>
                <w:kern w:val="0"/>
                <w:sz w:val="24"/>
              </w:rPr>
            </w:pPr>
            <w:r w:rsidRPr="00513D8C">
              <w:rPr>
                <w:rFonts w:ascii="宋体" w:hAnsi="宋体" w:cs="宋体" w:hint="eastAsia"/>
                <w:b/>
                <w:bCs/>
                <w:color w:val="000000"/>
                <w:kern w:val="0"/>
                <w:sz w:val="24"/>
              </w:rPr>
              <w:t>博士学位</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第十条　博士学位由国务院授权的高等学校和科学研究机构授予。</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申请博士学位人员应当在学位授予单位规定的期限内，向学位授予单位提交申请书和申请博士学位的学术论文等材料。学位授予单位应当在申请日期截止后两个月内进行审查，决定是否同意申请，并将结果通知申请人及其所在单位。</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同等学力人员申请时，应当送交两位教授或相当职称的专家的推荐书。学位授予单位对未获得硕士学位的申请人员，可以在接受申请前，采取适当方式，考核其某些硕士学位的基础理论课和专业课。</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申请人员不得同时向两个学位授予单位提出申请。</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第十一条　博士学位的考试课程和要求：</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1．马克思主义理论课。要求较好地掌握马克思主义的基本理论。</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2．基础理论课和专业课。要求掌握坚实宽广的基础理论和系统深入的专门知识。考试范围由学位授予单位的学位评定委员会审定。基础理论课和专业课的考试，由学位授予单位学位评定委员会指定三位专家组成的考试委员会主持，考试委员会主席必须由教授、副教授或相当职称的专家担任。</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3．两门外国语。第一外语要求熟练地阅读本专业的外文资料，并具有一定的写作能力，第二外国语要求有阅读本专业外文资料的初步能力。个别学科、专业，经学位授予单位的学位评定委员会审定，可只考第一外国语。</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攻读博士学位研究生的课程考试．可按上述的课程要求，结合培养计划安排</w:t>
            </w:r>
            <w:r w:rsidRPr="00513D8C">
              <w:rPr>
                <w:rFonts w:ascii="宋体" w:hAnsi="宋体" w:cs="宋体" w:hint="eastAsia"/>
                <w:color w:val="000000"/>
                <w:kern w:val="0"/>
                <w:sz w:val="24"/>
              </w:rPr>
              <w:lastRenderedPageBreak/>
              <w:t>进行。</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第十二条　申请博士学位人员必须通过博士学位的课程考试，成绩合格，方可参加博士学位论文答辩。</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申请博士学位人员在科学或专门技术上有重要著作、发明、发现或发展的，应当向学位授予单位提交有关的出版著作、发明的鉴定或证明书等材料，经两位教授或相当职称的专家推荐，学位授予单位按本暂行办法第十一条审查同意，可以免除部分或全部课程考试。</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第十三条　博士学位论文应当表明作者具有独立从事科学研究工作的能力，并在科学或专门技术上做出创造性的成果。博士学位论文或摘要，应当在答辩前三个月印送有关单位，并经同行评议。</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学位授予单位应当聘请两位与论文有关学科的专家评阅论文，其中一位应当是外单位的专家。评阅人应当对论文写出详细的学术评语，供论文答辩委员会参考。</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第十四条　博士学位论文答辩委员会由五至七人组成。成员的半数以上应当是教授或相当职称的专家。成员中必须包括二至三位外单位的专家。论文答辩委员会主席一般应当由教授或相当职称的专家担任。</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论文答辩委员会根据答辩的情况，就是否授予博士学位作出决议。决议采取不记名投栗方式，经全体成员三分之二以上同意，方得通过。决议经论文答辩委员会主席签字后，报送学位评定委员会。会议应当有记录。</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博士学位的论文答辩一般应当公开举行；已经通过的博士学位论文或摘要应当公开发表（保密专业除外）。</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博士学位论文答辩不合格的，经论文答辩委员会同意，可在两年内修改论文，</w:t>
            </w:r>
            <w:r w:rsidRPr="00513D8C">
              <w:rPr>
                <w:rFonts w:ascii="宋体" w:hAnsi="宋体" w:cs="宋体" w:hint="eastAsia"/>
                <w:color w:val="000000"/>
                <w:kern w:val="0"/>
                <w:sz w:val="24"/>
              </w:rPr>
              <w:lastRenderedPageBreak/>
              <w:t>重新答辩一次。</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第十五条　博士学位论文答辩委员会认为申请人的论文虽未达到博士学位的学术水平，但已达到硕士学位的学术水平，而且申请人尚未获得过该学科硕士学位的，可作出授予硕士学位的决议，报送学位评定委员会。</w:t>
            </w:r>
          </w:p>
          <w:p w:rsidR="00513D8C" w:rsidRPr="00513D8C" w:rsidRDefault="00513D8C" w:rsidP="00513D8C">
            <w:pPr>
              <w:widowControl/>
              <w:spacing w:before="100" w:beforeAutospacing="1" w:after="375" w:line="480" w:lineRule="atLeast"/>
              <w:jc w:val="center"/>
              <w:rPr>
                <w:rFonts w:ascii="宋体" w:hAnsi="宋体" w:cs="宋体" w:hint="eastAsia"/>
                <w:color w:val="000000"/>
                <w:kern w:val="0"/>
                <w:sz w:val="24"/>
              </w:rPr>
            </w:pPr>
            <w:r w:rsidRPr="00513D8C">
              <w:rPr>
                <w:rFonts w:ascii="宋体" w:hAnsi="宋体" w:cs="宋体" w:hint="eastAsia"/>
                <w:b/>
                <w:bCs/>
                <w:color w:val="000000"/>
                <w:kern w:val="0"/>
                <w:sz w:val="24"/>
              </w:rPr>
              <w:t xml:space="preserve">名誉博士学位 </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第十六条　名誉博士学位由国务院授权授予博士学位的单位授予。</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第十七条　授予名誉博士学位须经学位授予单位的学位评定委员会讨论通过，由学位授予单位报国务院学位委员会批准后授予。</w:t>
            </w:r>
          </w:p>
          <w:p w:rsidR="00513D8C" w:rsidRPr="00513D8C" w:rsidRDefault="00513D8C" w:rsidP="00513D8C">
            <w:pPr>
              <w:widowControl/>
              <w:spacing w:before="100" w:beforeAutospacing="1" w:after="375" w:line="480" w:lineRule="atLeast"/>
              <w:jc w:val="center"/>
              <w:rPr>
                <w:rFonts w:ascii="宋体" w:hAnsi="宋体" w:cs="宋体" w:hint="eastAsia"/>
                <w:color w:val="000000"/>
                <w:kern w:val="0"/>
                <w:sz w:val="24"/>
              </w:rPr>
            </w:pPr>
            <w:r w:rsidRPr="00513D8C">
              <w:rPr>
                <w:rFonts w:ascii="宋体" w:hAnsi="宋体" w:cs="宋体" w:hint="eastAsia"/>
                <w:b/>
                <w:bCs/>
                <w:color w:val="000000"/>
                <w:kern w:val="0"/>
                <w:sz w:val="24"/>
              </w:rPr>
              <w:t xml:space="preserve">学位评定委员会 </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第十八条　学位授予单位的学位评定委员会根据国务院批准的授予学位的权限．分别履行以下职责： </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（一）审查通过接受申请硕士学位和博士学位的人员名单；</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（二）确定硕士学位的考试科目、门数和博士学位基础理论课和专业课的考试范围；审批主考人和论文答辩委员会成员名单， </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（三）通过学士学位获得者的名单；</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（四）作出授予硕士学位的决定；</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（五）审批申请博士学位人员免除部分或全部课程考试的名单；</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（六）作出授予博士学位的决定。</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lastRenderedPageBreak/>
              <w:t xml:space="preserve">　　（七）通过授予名誉博士学位的人员名单，</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（八）作出撤销违反规定而授予学位的决定；</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（九）研究和处理授予学位的争议和其他事项。</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第十九条　学位授予单位的学位评定委员会由九至二十五人组成，任期二至三年。成员应当包括学位授予单位主要负责人和教学、研究人员。</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授予学士学位的高等学校，参加学位评定委员会的教学人员应当从本校讲师以上教师中遴选。授予学士学位、硕士学位和博士学位的单位，参加学位评定委员会的教学、研究人员主要应当从本单位副教授、教授或相当职称的专家中遴选。授予博士学位的单位，学位评定委员会中至少应当有半数以上的教授或相当职称的专家。</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学位评定委员会主席由学位授予单位具有教授、副教授或相当职称的主要负责人（高等学校校长，主管教学、科学研究和研究生工作的副校长，或科学研究机构相当职称的人员）担任。</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学位评定委员会可以按学位的学科门类，设置若干分委员会。各由七至十五人组成，任期二至三年。分委员会主席必须由学位评定委员会委员担任。分委员会协助学位评定委员会工作。学位评定委员会成员名单，应当由各学位授予单位报主管部门批准，主管部门转报国务院学位委员会备案。</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学位评定委员会可根据需要，配备必要的专职或兼职的工作人员，处理日常工作。</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第二十条　学位授予单位每年应当将授予学士学位的人数、授予硕士学位和博士学位的名单及有关材料，分别报主管部门和国务院学位委员会备案。</w:t>
            </w:r>
          </w:p>
          <w:p w:rsidR="00513D8C" w:rsidRPr="00513D8C" w:rsidRDefault="00513D8C" w:rsidP="00513D8C">
            <w:pPr>
              <w:widowControl/>
              <w:spacing w:before="100" w:beforeAutospacing="1" w:after="375" w:line="480" w:lineRule="atLeast"/>
              <w:jc w:val="center"/>
              <w:rPr>
                <w:rFonts w:ascii="宋体" w:hAnsi="宋体" w:cs="宋体" w:hint="eastAsia"/>
                <w:color w:val="000000"/>
                <w:kern w:val="0"/>
                <w:sz w:val="24"/>
              </w:rPr>
            </w:pPr>
            <w:r w:rsidRPr="00513D8C">
              <w:rPr>
                <w:rFonts w:ascii="宋体" w:hAnsi="宋体" w:cs="宋体" w:hint="eastAsia"/>
                <w:b/>
                <w:bCs/>
                <w:color w:val="000000"/>
                <w:kern w:val="0"/>
                <w:sz w:val="24"/>
              </w:rPr>
              <w:lastRenderedPageBreak/>
              <w:t>其他规定</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第二十一条　在我国学习的外国留学生申请学士学位，参照本暂行办法第三条及有关规定办理。</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在我国学习的外国留学生和从事研究或教学工作的外国学者申请硕士学位或博上学位，参照本暂行办法的有关规定办理。</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第二十二条　学士学位的证书格式．由教育部制定。硕士学位和博士学位的证书格式，由国务院学位委员会制定。学位获得者的学位证书，由学位授予单位发给。</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第二十三条　已经通过的硕士学位和博士学位的论文，应当交存学位授予单位图书馆一份，已经通过的博士学位论文，还应当交存北京图书馆和有关的专业图书馆各一份。</w:t>
            </w:r>
          </w:p>
          <w:p w:rsidR="00513D8C" w:rsidRPr="00513D8C" w:rsidRDefault="00513D8C" w:rsidP="00513D8C">
            <w:pPr>
              <w:widowControl/>
              <w:spacing w:before="100" w:beforeAutospacing="1" w:after="375" w:line="480" w:lineRule="atLeast"/>
              <w:jc w:val="left"/>
              <w:rPr>
                <w:rFonts w:ascii="宋体" w:hAnsi="宋体" w:cs="宋体" w:hint="eastAsia"/>
                <w:color w:val="000000"/>
                <w:kern w:val="0"/>
                <w:sz w:val="24"/>
              </w:rPr>
            </w:pPr>
            <w:r w:rsidRPr="00513D8C">
              <w:rPr>
                <w:rFonts w:ascii="宋体" w:hAnsi="宋体" w:cs="宋体" w:hint="eastAsia"/>
                <w:color w:val="000000"/>
                <w:kern w:val="0"/>
                <w:sz w:val="24"/>
              </w:rPr>
              <w:t xml:space="preserve">　　第二十四条　在职人员申请硕士学位或博士学位，经学位授予单位审核同意参加课程考试和论文答辩后，准备参加考试或答辩，可享有不超过两个月的假期。</w:t>
            </w:r>
          </w:p>
          <w:p w:rsidR="00513D8C" w:rsidRPr="00513D8C" w:rsidRDefault="00513D8C" w:rsidP="00513D8C">
            <w:pPr>
              <w:widowControl/>
              <w:spacing w:before="100" w:beforeAutospacing="1" w:after="375" w:line="480" w:lineRule="atLeast"/>
              <w:jc w:val="left"/>
              <w:rPr>
                <w:rFonts w:ascii="宋体" w:hAnsi="宋体" w:cs="宋体"/>
                <w:color w:val="000000"/>
                <w:kern w:val="0"/>
                <w:sz w:val="24"/>
              </w:rPr>
            </w:pPr>
            <w:r w:rsidRPr="00513D8C">
              <w:rPr>
                <w:rFonts w:ascii="宋体" w:hAnsi="宋体" w:cs="宋体" w:hint="eastAsia"/>
                <w:color w:val="000000"/>
                <w:kern w:val="0"/>
                <w:sz w:val="24"/>
              </w:rPr>
              <w:t xml:space="preserve">　　第二十五条　学位授予单位可根据本暂行实施办法，制定本单位授予学位的工作细则。</w:t>
            </w:r>
          </w:p>
        </w:tc>
      </w:tr>
    </w:tbl>
    <w:p w:rsidR="00677FA5" w:rsidRPr="00513D8C" w:rsidRDefault="00677FA5" w:rsidP="00677FA5">
      <w:pPr>
        <w:spacing w:afterLines="50" w:line="360" w:lineRule="auto"/>
        <w:ind w:firstLineChars="200" w:firstLine="460"/>
        <w:rPr>
          <w:sz w:val="23"/>
          <w:szCs w:val="23"/>
        </w:rPr>
      </w:pPr>
    </w:p>
    <w:p w:rsidR="00677FA5" w:rsidRPr="006A509D" w:rsidRDefault="00677FA5" w:rsidP="00677FA5"/>
    <w:sectPr w:rsidR="00677FA5" w:rsidRPr="006A509D" w:rsidSect="00677FA5">
      <w:pgSz w:w="11906" w:h="16838"/>
      <w:pgMar w:top="1440" w:right="18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C40" w:rsidRDefault="00020C40" w:rsidP="00471516">
      <w:r>
        <w:separator/>
      </w:r>
    </w:p>
  </w:endnote>
  <w:endnote w:type="continuationSeparator" w:id="0">
    <w:p w:rsidR="00020C40" w:rsidRDefault="00020C40" w:rsidP="00471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C40" w:rsidRDefault="00020C40" w:rsidP="00471516">
      <w:r>
        <w:separator/>
      </w:r>
    </w:p>
  </w:footnote>
  <w:footnote w:type="continuationSeparator" w:id="0">
    <w:p w:rsidR="00020C40" w:rsidRDefault="00020C40" w:rsidP="004715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E18F0"/>
    <w:multiLevelType w:val="hybridMultilevel"/>
    <w:tmpl w:val="0B40DF4E"/>
    <w:lvl w:ilvl="0" w:tplc="8D86F83E">
      <w:start w:val="1"/>
      <w:numFmt w:val="japaneseCounting"/>
      <w:lvlText w:val="第%1条"/>
      <w:lvlJc w:val="left"/>
      <w:pPr>
        <w:ind w:left="1242" w:hanging="765"/>
      </w:pPr>
      <w:rPr>
        <w:rFonts w:hint="default"/>
      </w:rPr>
    </w:lvl>
    <w:lvl w:ilvl="1" w:tplc="04090019" w:tentative="1">
      <w:start w:val="1"/>
      <w:numFmt w:val="lowerLetter"/>
      <w:lvlText w:val="%2)"/>
      <w:lvlJc w:val="left"/>
      <w:pPr>
        <w:ind w:left="1317" w:hanging="420"/>
      </w:pPr>
    </w:lvl>
    <w:lvl w:ilvl="2" w:tplc="0409001B" w:tentative="1">
      <w:start w:val="1"/>
      <w:numFmt w:val="lowerRoman"/>
      <w:lvlText w:val="%3."/>
      <w:lvlJc w:val="right"/>
      <w:pPr>
        <w:ind w:left="1737" w:hanging="420"/>
      </w:pPr>
    </w:lvl>
    <w:lvl w:ilvl="3" w:tplc="0409000F" w:tentative="1">
      <w:start w:val="1"/>
      <w:numFmt w:val="decimal"/>
      <w:lvlText w:val="%4."/>
      <w:lvlJc w:val="left"/>
      <w:pPr>
        <w:ind w:left="2157" w:hanging="420"/>
      </w:pPr>
    </w:lvl>
    <w:lvl w:ilvl="4" w:tplc="04090019" w:tentative="1">
      <w:start w:val="1"/>
      <w:numFmt w:val="lowerLetter"/>
      <w:lvlText w:val="%5)"/>
      <w:lvlJc w:val="left"/>
      <w:pPr>
        <w:ind w:left="2577" w:hanging="420"/>
      </w:pPr>
    </w:lvl>
    <w:lvl w:ilvl="5" w:tplc="0409001B" w:tentative="1">
      <w:start w:val="1"/>
      <w:numFmt w:val="lowerRoman"/>
      <w:lvlText w:val="%6."/>
      <w:lvlJc w:val="right"/>
      <w:pPr>
        <w:ind w:left="2997" w:hanging="420"/>
      </w:pPr>
    </w:lvl>
    <w:lvl w:ilvl="6" w:tplc="0409000F" w:tentative="1">
      <w:start w:val="1"/>
      <w:numFmt w:val="decimal"/>
      <w:lvlText w:val="%7."/>
      <w:lvlJc w:val="left"/>
      <w:pPr>
        <w:ind w:left="3417" w:hanging="420"/>
      </w:pPr>
    </w:lvl>
    <w:lvl w:ilvl="7" w:tplc="04090019" w:tentative="1">
      <w:start w:val="1"/>
      <w:numFmt w:val="lowerLetter"/>
      <w:lvlText w:val="%8)"/>
      <w:lvlJc w:val="left"/>
      <w:pPr>
        <w:ind w:left="3837" w:hanging="420"/>
      </w:pPr>
    </w:lvl>
    <w:lvl w:ilvl="8" w:tplc="0409001B" w:tentative="1">
      <w:start w:val="1"/>
      <w:numFmt w:val="lowerRoman"/>
      <w:lvlText w:val="%9."/>
      <w:lvlJc w:val="right"/>
      <w:pPr>
        <w:ind w:left="4257" w:hanging="420"/>
      </w:pPr>
    </w:lvl>
  </w:abstractNum>
  <w:abstractNum w:abstractNumId="1">
    <w:nsid w:val="744D76FE"/>
    <w:multiLevelType w:val="hybridMultilevel"/>
    <w:tmpl w:val="1E74948E"/>
    <w:lvl w:ilvl="0" w:tplc="A63A84DA">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B0A034D"/>
    <w:multiLevelType w:val="hybridMultilevel"/>
    <w:tmpl w:val="6526C074"/>
    <w:lvl w:ilvl="0" w:tplc="F822BFFA">
      <w:start w:val="1"/>
      <w:numFmt w:val="japaneseCounting"/>
      <w:lvlText w:val="（%1）"/>
      <w:lvlJc w:val="left"/>
      <w:pPr>
        <w:ind w:left="1183" w:hanging="720"/>
      </w:pPr>
      <w:rPr>
        <w:rFonts w:hint="default"/>
      </w:rPr>
    </w:lvl>
    <w:lvl w:ilvl="1" w:tplc="04090019" w:tentative="1">
      <w:start w:val="1"/>
      <w:numFmt w:val="lowerLetter"/>
      <w:lvlText w:val="%2)"/>
      <w:lvlJc w:val="left"/>
      <w:pPr>
        <w:ind w:left="1303" w:hanging="420"/>
      </w:pPr>
    </w:lvl>
    <w:lvl w:ilvl="2" w:tplc="0409001B" w:tentative="1">
      <w:start w:val="1"/>
      <w:numFmt w:val="lowerRoman"/>
      <w:lvlText w:val="%3."/>
      <w:lvlJc w:val="right"/>
      <w:pPr>
        <w:ind w:left="1723" w:hanging="420"/>
      </w:pPr>
    </w:lvl>
    <w:lvl w:ilvl="3" w:tplc="0409000F" w:tentative="1">
      <w:start w:val="1"/>
      <w:numFmt w:val="decimal"/>
      <w:lvlText w:val="%4."/>
      <w:lvlJc w:val="left"/>
      <w:pPr>
        <w:ind w:left="2143" w:hanging="420"/>
      </w:pPr>
    </w:lvl>
    <w:lvl w:ilvl="4" w:tplc="04090019" w:tentative="1">
      <w:start w:val="1"/>
      <w:numFmt w:val="lowerLetter"/>
      <w:lvlText w:val="%5)"/>
      <w:lvlJc w:val="left"/>
      <w:pPr>
        <w:ind w:left="2563" w:hanging="420"/>
      </w:pPr>
    </w:lvl>
    <w:lvl w:ilvl="5" w:tplc="0409001B" w:tentative="1">
      <w:start w:val="1"/>
      <w:numFmt w:val="lowerRoman"/>
      <w:lvlText w:val="%6."/>
      <w:lvlJc w:val="right"/>
      <w:pPr>
        <w:ind w:left="2983" w:hanging="420"/>
      </w:pPr>
    </w:lvl>
    <w:lvl w:ilvl="6" w:tplc="0409000F" w:tentative="1">
      <w:start w:val="1"/>
      <w:numFmt w:val="decimal"/>
      <w:lvlText w:val="%7."/>
      <w:lvlJc w:val="left"/>
      <w:pPr>
        <w:ind w:left="3403" w:hanging="420"/>
      </w:pPr>
    </w:lvl>
    <w:lvl w:ilvl="7" w:tplc="04090019" w:tentative="1">
      <w:start w:val="1"/>
      <w:numFmt w:val="lowerLetter"/>
      <w:lvlText w:val="%8)"/>
      <w:lvlJc w:val="left"/>
      <w:pPr>
        <w:ind w:left="3823" w:hanging="420"/>
      </w:pPr>
    </w:lvl>
    <w:lvl w:ilvl="8" w:tplc="0409001B" w:tentative="1">
      <w:start w:val="1"/>
      <w:numFmt w:val="lowerRoman"/>
      <w:lvlText w:val="%9."/>
      <w:lvlJc w:val="right"/>
      <w:pPr>
        <w:ind w:left="4243"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2DB6"/>
    <w:rsid w:val="000015C3"/>
    <w:rsid w:val="00020C40"/>
    <w:rsid w:val="00027C1E"/>
    <w:rsid w:val="00041755"/>
    <w:rsid w:val="000432FC"/>
    <w:rsid w:val="00073921"/>
    <w:rsid w:val="00077159"/>
    <w:rsid w:val="00092667"/>
    <w:rsid w:val="000A6CD3"/>
    <w:rsid w:val="000B016B"/>
    <w:rsid w:val="000B2904"/>
    <w:rsid w:val="000B38BB"/>
    <w:rsid w:val="000D21CC"/>
    <w:rsid w:val="000E22FD"/>
    <w:rsid w:val="000E27AE"/>
    <w:rsid w:val="00100D36"/>
    <w:rsid w:val="00102010"/>
    <w:rsid w:val="00113A7B"/>
    <w:rsid w:val="00116576"/>
    <w:rsid w:val="00121F59"/>
    <w:rsid w:val="00126889"/>
    <w:rsid w:val="00154DE5"/>
    <w:rsid w:val="00155367"/>
    <w:rsid w:val="001561DE"/>
    <w:rsid w:val="00184CDB"/>
    <w:rsid w:val="001B46DE"/>
    <w:rsid w:val="001B7553"/>
    <w:rsid w:val="001F7772"/>
    <w:rsid w:val="00216EA1"/>
    <w:rsid w:val="002342AD"/>
    <w:rsid w:val="00254366"/>
    <w:rsid w:val="0025561F"/>
    <w:rsid w:val="00265D06"/>
    <w:rsid w:val="00265F03"/>
    <w:rsid w:val="00271C48"/>
    <w:rsid w:val="00273CDB"/>
    <w:rsid w:val="00284B1F"/>
    <w:rsid w:val="00284D4B"/>
    <w:rsid w:val="0029048C"/>
    <w:rsid w:val="00291AD9"/>
    <w:rsid w:val="002B13C3"/>
    <w:rsid w:val="002B2DB6"/>
    <w:rsid w:val="002D552B"/>
    <w:rsid w:val="002D72E9"/>
    <w:rsid w:val="002E57B8"/>
    <w:rsid w:val="002F25C0"/>
    <w:rsid w:val="003019F6"/>
    <w:rsid w:val="00313D13"/>
    <w:rsid w:val="00323B35"/>
    <w:rsid w:val="003324DF"/>
    <w:rsid w:val="00337FD3"/>
    <w:rsid w:val="0034256E"/>
    <w:rsid w:val="00344282"/>
    <w:rsid w:val="00350E41"/>
    <w:rsid w:val="00355A22"/>
    <w:rsid w:val="00361DF5"/>
    <w:rsid w:val="003742BD"/>
    <w:rsid w:val="00386FBC"/>
    <w:rsid w:val="003B4A98"/>
    <w:rsid w:val="003C0F6E"/>
    <w:rsid w:val="003D31FF"/>
    <w:rsid w:val="00404345"/>
    <w:rsid w:val="0041019D"/>
    <w:rsid w:val="0041346E"/>
    <w:rsid w:val="0042707A"/>
    <w:rsid w:val="00435B25"/>
    <w:rsid w:val="00440170"/>
    <w:rsid w:val="00444D44"/>
    <w:rsid w:val="00457B4E"/>
    <w:rsid w:val="0046753E"/>
    <w:rsid w:val="00471516"/>
    <w:rsid w:val="00483229"/>
    <w:rsid w:val="00485C0B"/>
    <w:rsid w:val="0048618A"/>
    <w:rsid w:val="00492582"/>
    <w:rsid w:val="004B522A"/>
    <w:rsid w:val="004C10EC"/>
    <w:rsid w:val="004C497A"/>
    <w:rsid w:val="004D61D2"/>
    <w:rsid w:val="004E2849"/>
    <w:rsid w:val="004E3CB4"/>
    <w:rsid w:val="004F3181"/>
    <w:rsid w:val="004F3717"/>
    <w:rsid w:val="00513D8C"/>
    <w:rsid w:val="00515864"/>
    <w:rsid w:val="00524955"/>
    <w:rsid w:val="0054254F"/>
    <w:rsid w:val="005548B7"/>
    <w:rsid w:val="0057775C"/>
    <w:rsid w:val="00582C35"/>
    <w:rsid w:val="00585053"/>
    <w:rsid w:val="00586C12"/>
    <w:rsid w:val="005B1068"/>
    <w:rsid w:val="005B297B"/>
    <w:rsid w:val="005B35CC"/>
    <w:rsid w:val="005E26C1"/>
    <w:rsid w:val="005E27B7"/>
    <w:rsid w:val="005F3AB4"/>
    <w:rsid w:val="00610E57"/>
    <w:rsid w:val="00612D29"/>
    <w:rsid w:val="00626580"/>
    <w:rsid w:val="0064279B"/>
    <w:rsid w:val="00661624"/>
    <w:rsid w:val="0066479B"/>
    <w:rsid w:val="006743E5"/>
    <w:rsid w:val="00677FA5"/>
    <w:rsid w:val="006C430C"/>
    <w:rsid w:val="00705242"/>
    <w:rsid w:val="00713F79"/>
    <w:rsid w:val="00724099"/>
    <w:rsid w:val="00746DA2"/>
    <w:rsid w:val="00754D97"/>
    <w:rsid w:val="007565A9"/>
    <w:rsid w:val="00765BF5"/>
    <w:rsid w:val="00771498"/>
    <w:rsid w:val="00773D5F"/>
    <w:rsid w:val="007B300D"/>
    <w:rsid w:val="007C1741"/>
    <w:rsid w:val="007C397B"/>
    <w:rsid w:val="007C3D83"/>
    <w:rsid w:val="007C5D94"/>
    <w:rsid w:val="00802976"/>
    <w:rsid w:val="0081061E"/>
    <w:rsid w:val="00812FD8"/>
    <w:rsid w:val="00816D60"/>
    <w:rsid w:val="00822A26"/>
    <w:rsid w:val="008326DD"/>
    <w:rsid w:val="0083341E"/>
    <w:rsid w:val="00835EEF"/>
    <w:rsid w:val="00835F81"/>
    <w:rsid w:val="00850FE5"/>
    <w:rsid w:val="00851917"/>
    <w:rsid w:val="0088562B"/>
    <w:rsid w:val="00891F1D"/>
    <w:rsid w:val="008A1B8C"/>
    <w:rsid w:val="008A4011"/>
    <w:rsid w:val="008D0BAC"/>
    <w:rsid w:val="008D0F3F"/>
    <w:rsid w:val="008D6D23"/>
    <w:rsid w:val="008E4229"/>
    <w:rsid w:val="00917435"/>
    <w:rsid w:val="00927638"/>
    <w:rsid w:val="00927E37"/>
    <w:rsid w:val="00943EF3"/>
    <w:rsid w:val="0095690E"/>
    <w:rsid w:val="009660E4"/>
    <w:rsid w:val="009759BD"/>
    <w:rsid w:val="00986810"/>
    <w:rsid w:val="009A27C9"/>
    <w:rsid w:val="009C5A64"/>
    <w:rsid w:val="009F43D7"/>
    <w:rsid w:val="009F6044"/>
    <w:rsid w:val="00A3422C"/>
    <w:rsid w:val="00A451A5"/>
    <w:rsid w:val="00A52789"/>
    <w:rsid w:val="00A56249"/>
    <w:rsid w:val="00A904A1"/>
    <w:rsid w:val="00A94C28"/>
    <w:rsid w:val="00AA40AE"/>
    <w:rsid w:val="00AB1179"/>
    <w:rsid w:val="00AB5872"/>
    <w:rsid w:val="00AC2D71"/>
    <w:rsid w:val="00AC52DF"/>
    <w:rsid w:val="00AE0999"/>
    <w:rsid w:val="00AF3B50"/>
    <w:rsid w:val="00AF7D89"/>
    <w:rsid w:val="00B2012E"/>
    <w:rsid w:val="00B51979"/>
    <w:rsid w:val="00B63047"/>
    <w:rsid w:val="00B761A5"/>
    <w:rsid w:val="00B91378"/>
    <w:rsid w:val="00BB07DA"/>
    <w:rsid w:val="00BC3163"/>
    <w:rsid w:val="00BC59A2"/>
    <w:rsid w:val="00BD171A"/>
    <w:rsid w:val="00BD5D96"/>
    <w:rsid w:val="00BE3B68"/>
    <w:rsid w:val="00BF149C"/>
    <w:rsid w:val="00C07AC6"/>
    <w:rsid w:val="00C101F5"/>
    <w:rsid w:val="00C23467"/>
    <w:rsid w:val="00C26189"/>
    <w:rsid w:val="00C32491"/>
    <w:rsid w:val="00C34ACD"/>
    <w:rsid w:val="00C44197"/>
    <w:rsid w:val="00C5235A"/>
    <w:rsid w:val="00C911CA"/>
    <w:rsid w:val="00C94884"/>
    <w:rsid w:val="00CC4921"/>
    <w:rsid w:val="00CC545A"/>
    <w:rsid w:val="00CD330E"/>
    <w:rsid w:val="00CE3A54"/>
    <w:rsid w:val="00CF163C"/>
    <w:rsid w:val="00CF260A"/>
    <w:rsid w:val="00CF2AE8"/>
    <w:rsid w:val="00D01B0A"/>
    <w:rsid w:val="00D119B6"/>
    <w:rsid w:val="00D20757"/>
    <w:rsid w:val="00D27239"/>
    <w:rsid w:val="00D35698"/>
    <w:rsid w:val="00D40B5E"/>
    <w:rsid w:val="00D52EC7"/>
    <w:rsid w:val="00D607F9"/>
    <w:rsid w:val="00D64DD2"/>
    <w:rsid w:val="00D65E4C"/>
    <w:rsid w:val="00D67E7E"/>
    <w:rsid w:val="00D84608"/>
    <w:rsid w:val="00DB258B"/>
    <w:rsid w:val="00DE556F"/>
    <w:rsid w:val="00DE76FF"/>
    <w:rsid w:val="00E13328"/>
    <w:rsid w:val="00E207EC"/>
    <w:rsid w:val="00E23B61"/>
    <w:rsid w:val="00E24D33"/>
    <w:rsid w:val="00E257DE"/>
    <w:rsid w:val="00E33EEA"/>
    <w:rsid w:val="00E34FCF"/>
    <w:rsid w:val="00E36096"/>
    <w:rsid w:val="00E364F3"/>
    <w:rsid w:val="00E50159"/>
    <w:rsid w:val="00E56656"/>
    <w:rsid w:val="00E71725"/>
    <w:rsid w:val="00E82084"/>
    <w:rsid w:val="00EA50B7"/>
    <w:rsid w:val="00EE0CFF"/>
    <w:rsid w:val="00EE1686"/>
    <w:rsid w:val="00EF622B"/>
    <w:rsid w:val="00F12536"/>
    <w:rsid w:val="00F156D9"/>
    <w:rsid w:val="00F32BCC"/>
    <w:rsid w:val="00F7011A"/>
    <w:rsid w:val="00F70BFD"/>
    <w:rsid w:val="00F76E78"/>
    <w:rsid w:val="00F8767C"/>
    <w:rsid w:val="00F9541C"/>
    <w:rsid w:val="00FA1E64"/>
    <w:rsid w:val="00FB4388"/>
    <w:rsid w:val="00FC2CF2"/>
    <w:rsid w:val="00FD795D"/>
    <w:rsid w:val="00FE1C10"/>
    <w:rsid w:val="00FE3D50"/>
    <w:rsid w:val="00FF24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D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DB6"/>
    <w:pPr>
      <w:ind w:firstLineChars="200" w:firstLine="420"/>
    </w:pPr>
  </w:style>
  <w:style w:type="paragraph" w:styleId="a4">
    <w:name w:val="header"/>
    <w:basedOn w:val="a"/>
    <w:link w:val="Char"/>
    <w:uiPriority w:val="99"/>
    <w:semiHidden/>
    <w:unhideWhenUsed/>
    <w:rsid w:val="004715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71516"/>
    <w:rPr>
      <w:rFonts w:ascii="Times New Roman" w:eastAsia="宋体" w:hAnsi="Times New Roman" w:cs="Times New Roman"/>
      <w:sz w:val="18"/>
      <w:szCs w:val="18"/>
    </w:rPr>
  </w:style>
  <w:style w:type="paragraph" w:styleId="a5">
    <w:name w:val="footer"/>
    <w:basedOn w:val="a"/>
    <w:link w:val="Char0"/>
    <w:uiPriority w:val="99"/>
    <w:semiHidden/>
    <w:unhideWhenUsed/>
    <w:rsid w:val="0047151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71516"/>
    <w:rPr>
      <w:rFonts w:ascii="Times New Roman" w:eastAsia="宋体" w:hAnsi="Times New Roman" w:cs="Times New Roman"/>
      <w:sz w:val="18"/>
      <w:szCs w:val="18"/>
    </w:rPr>
  </w:style>
  <w:style w:type="paragraph" w:styleId="a6">
    <w:name w:val="Normal (Web)"/>
    <w:basedOn w:val="a"/>
    <w:uiPriority w:val="99"/>
    <w:semiHidden/>
    <w:unhideWhenUsed/>
    <w:rsid w:val="00677FA5"/>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677FA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649</Words>
  <Characters>3702</Characters>
  <Application>Microsoft Office Word</Application>
  <DocSecurity>0</DocSecurity>
  <Lines>30</Lines>
  <Paragraphs>8</Paragraphs>
  <ScaleCrop>false</ScaleCrop>
  <Company>WwW.YlmF.CoM</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9</cp:revision>
  <cp:lastPrinted>2014-05-30T01:35:00Z</cp:lastPrinted>
  <dcterms:created xsi:type="dcterms:W3CDTF">2011-07-01T08:49:00Z</dcterms:created>
  <dcterms:modified xsi:type="dcterms:W3CDTF">2014-05-30T05:46:00Z</dcterms:modified>
</cp:coreProperties>
</file>